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235" w:rsidRDefault="00441235">
      <w:pPr>
        <w:kinsoku w:val="0"/>
        <w:overflowPunct w:val="0"/>
        <w:autoSpaceDE/>
        <w:autoSpaceDN/>
        <w:adjustRightInd/>
        <w:spacing w:after="248" w:line="20" w:lineRule="exact"/>
        <w:ind w:right="211"/>
        <w:textAlignment w:val="baseline"/>
        <w:rPr>
          <w:sz w:val="24"/>
          <w:szCs w:val="24"/>
        </w:rPr>
      </w:pPr>
      <w:bookmarkStart w:id="0" w:name="_GoBack"/>
      <w:bookmarkEnd w:id="0"/>
    </w:p>
    <w:p w:rsidR="00441235" w:rsidRDefault="00FE7D69">
      <w:pPr>
        <w:kinsoku w:val="0"/>
        <w:overflowPunct w:val="0"/>
        <w:autoSpaceDE/>
        <w:autoSpaceDN/>
        <w:adjustRightInd/>
        <w:spacing w:line="285" w:lineRule="exact"/>
        <w:ind w:left="72"/>
        <w:jc w:val="center"/>
        <w:textAlignment w:val="baseline"/>
        <w:rPr>
          <w:b/>
          <w:bCs/>
          <w:spacing w:val="8"/>
          <w:sz w:val="23"/>
          <w:szCs w:val="23"/>
          <w:lang w:val="es-ES" w:eastAsia="es-ES"/>
        </w:rPr>
      </w:pPr>
      <w:proofErr w:type="gramStart"/>
      <w:r>
        <w:rPr>
          <w:b/>
          <w:bCs/>
          <w:spacing w:val="8"/>
          <w:sz w:val="23"/>
          <w:szCs w:val="23"/>
          <w:lang w:val="es-ES" w:eastAsia="es-ES"/>
        </w:rPr>
        <w:t>RESOLUCIÓN N.</w:t>
      </w:r>
      <w:proofErr w:type="gramEnd"/>
      <w:r>
        <w:rPr>
          <w:b/>
          <w:bCs/>
          <w:spacing w:val="8"/>
          <w:sz w:val="23"/>
          <w:szCs w:val="23"/>
          <w:lang w:val="es-ES" w:eastAsia="es-ES"/>
        </w:rPr>
        <w:t xml:space="preserve"> </w:t>
      </w:r>
      <w:proofErr w:type="spellStart"/>
      <w:r>
        <w:rPr>
          <w:b/>
          <w:bCs/>
          <w:spacing w:val="8"/>
          <w:sz w:val="23"/>
          <w:szCs w:val="23"/>
          <w:lang w:val="es-ES" w:eastAsia="es-ES"/>
        </w:rPr>
        <w:t>TAT</w:t>
      </w:r>
      <w:proofErr w:type="spellEnd"/>
      <w:r>
        <w:rPr>
          <w:b/>
          <w:bCs/>
          <w:spacing w:val="8"/>
          <w:sz w:val="23"/>
          <w:szCs w:val="23"/>
          <w:lang w:val="es-ES" w:eastAsia="es-ES"/>
        </w:rPr>
        <w:t>-3334-2017</w:t>
      </w:r>
    </w:p>
    <w:p w:rsidR="00441235" w:rsidRDefault="00FE7D69">
      <w:pPr>
        <w:kinsoku w:val="0"/>
        <w:overflowPunct w:val="0"/>
        <w:autoSpaceDE/>
        <w:autoSpaceDN/>
        <w:adjustRightInd/>
        <w:spacing w:before="322" w:line="315"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treinta y seis minutos del treinta y uno de octubre del dos mil diecisiete.</w:t>
      </w:r>
    </w:p>
    <w:p w:rsidR="00441235" w:rsidRDefault="00FE7D69">
      <w:pPr>
        <w:kinsoku w:val="0"/>
        <w:overflowPunct w:val="0"/>
        <w:autoSpaceDE/>
        <w:autoSpaceDN/>
        <w:adjustRightInd/>
        <w:spacing w:before="320" w:line="317" w:lineRule="exact"/>
        <w:ind w:left="72"/>
        <w:jc w:val="both"/>
        <w:textAlignment w:val="baseline"/>
        <w:rPr>
          <w:b/>
          <w:bCs/>
          <w:sz w:val="23"/>
          <w:szCs w:val="23"/>
          <w:lang w:val="es-ES" w:eastAsia="es-ES"/>
        </w:rPr>
      </w:pPr>
      <w:r>
        <w:rPr>
          <w:sz w:val="23"/>
          <w:szCs w:val="23"/>
          <w:lang w:val="es-ES" w:eastAsia="es-ES"/>
        </w:rPr>
        <w:t xml:space="preserve">Se conoce </w:t>
      </w:r>
      <w:r w:rsidRPr="00FE7D69">
        <w:rPr>
          <w:b/>
          <w:sz w:val="23"/>
          <w:szCs w:val="23"/>
          <w:lang w:val="es-ES" w:eastAsia="es-ES"/>
        </w:rPr>
        <w:t>RECURSO DE APELACIÓN EN SUBSIDIO E INCIDENTES DE NULIDAD DEL ACTO</w:t>
      </w:r>
      <w:r>
        <w:rPr>
          <w:sz w:val="23"/>
          <w:szCs w:val="23"/>
          <w:lang w:val="es-ES" w:eastAsia="es-ES"/>
        </w:rPr>
        <w:t xml:space="preserve">, interpuesto por </w:t>
      </w:r>
      <w:proofErr w:type="spellStart"/>
      <w:r w:rsidRPr="00FE7D69">
        <w:rPr>
          <w:b/>
          <w:sz w:val="23"/>
          <w:szCs w:val="23"/>
          <w:lang w:val="es-ES" w:eastAsia="es-ES"/>
        </w:rPr>
        <w:t>D</w:t>
      </w:r>
      <w:r>
        <w:rPr>
          <w:b/>
          <w:sz w:val="23"/>
          <w:szCs w:val="23"/>
          <w:lang w:val="es-ES" w:eastAsia="es-ES"/>
        </w:rPr>
        <w:t>.M.S.B</w:t>
      </w:r>
      <w:proofErr w:type="spellEnd"/>
      <w:r>
        <w:rPr>
          <w:b/>
          <w:sz w:val="23"/>
          <w:szCs w:val="23"/>
          <w:lang w:val="es-ES" w:eastAsia="es-ES"/>
        </w:rPr>
        <w:t>.</w:t>
      </w:r>
      <w:r>
        <w:rPr>
          <w:sz w:val="23"/>
          <w:szCs w:val="23"/>
          <w:lang w:val="es-ES" w:eastAsia="es-ES"/>
        </w:rPr>
        <w:t xml:space="preserve">, cédula de identidad número …; en contra del </w:t>
      </w:r>
      <w:r>
        <w:rPr>
          <w:b/>
          <w:bCs/>
          <w:sz w:val="23"/>
          <w:szCs w:val="23"/>
          <w:lang w:val="es-ES" w:eastAsia="es-ES"/>
        </w:rPr>
        <w:t xml:space="preserve">Artículo 7.7.2 de la Sesión Ordinaria 17-2017, celebrada el 26 de abril del 2017 </w:t>
      </w:r>
      <w:r>
        <w:rPr>
          <w:sz w:val="23"/>
          <w:szCs w:val="23"/>
          <w:lang w:val="es-ES" w:eastAsia="es-ES"/>
        </w:rPr>
        <w:t xml:space="preserve">por la Junta Directiva del Consejo de Transporte Público, y tramitado en este Despacho bajo el </w:t>
      </w:r>
      <w:r>
        <w:rPr>
          <w:b/>
          <w:bCs/>
          <w:sz w:val="23"/>
          <w:szCs w:val="23"/>
          <w:lang w:val="es-ES" w:eastAsia="es-ES"/>
        </w:rPr>
        <w:t xml:space="preserve">expediente administrativo </w:t>
      </w:r>
      <w:r>
        <w:rPr>
          <w:sz w:val="23"/>
          <w:szCs w:val="23"/>
          <w:lang w:val="es-ES" w:eastAsia="es-ES"/>
        </w:rPr>
        <w:t xml:space="preserve">número </w:t>
      </w:r>
      <w:proofErr w:type="spellStart"/>
      <w:r>
        <w:rPr>
          <w:b/>
          <w:bCs/>
          <w:sz w:val="23"/>
          <w:szCs w:val="23"/>
          <w:lang w:val="es-ES" w:eastAsia="es-ES"/>
        </w:rPr>
        <w:t>TAT</w:t>
      </w:r>
      <w:proofErr w:type="spellEnd"/>
      <w:r>
        <w:rPr>
          <w:b/>
          <w:bCs/>
          <w:sz w:val="23"/>
          <w:szCs w:val="23"/>
          <w:lang w:val="es-ES" w:eastAsia="es-ES"/>
        </w:rPr>
        <w:t>-117-17.</w:t>
      </w:r>
    </w:p>
    <w:p w:rsidR="00441235" w:rsidRDefault="00FE7D69">
      <w:pPr>
        <w:kinsoku w:val="0"/>
        <w:overflowPunct w:val="0"/>
        <w:autoSpaceDE/>
        <w:autoSpaceDN/>
        <w:adjustRightInd/>
        <w:spacing w:before="368" w:line="274" w:lineRule="exact"/>
        <w:ind w:left="72"/>
        <w:jc w:val="center"/>
        <w:textAlignment w:val="baseline"/>
        <w:rPr>
          <w:b/>
          <w:bCs/>
          <w:spacing w:val="6"/>
          <w:sz w:val="23"/>
          <w:szCs w:val="23"/>
          <w:lang w:val="es-ES" w:eastAsia="es-ES"/>
        </w:rPr>
      </w:pPr>
      <w:r>
        <w:rPr>
          <w:b/>
          <w:bCs/>
          <w:spacing w:val="6"/>
          <w:sz w:val="23"/>
          <w:szCs w:val="23"/>
          <w:lang w:val="es-ES" w:eastAsia="es-ES"/>
        </w:rPr>
        <w:t>RESULTANDO</w:t>
      </w:r>
    </w:p>
    <w:p w:rsidR="00441235" w:rsidRDefault="00FE7D69">
      <w:pPr>
        <w:kinsoku w:val="0"/>
        <w:overflowPunct w:val="0"/>
        <w:autoSpaceDE/>
        <w:autoSpaceDN/>
        <w:adjustRightInd/>
        <w:spacing w:before="319" w:line="315" w:lineRule="exact"/>
        <w:ind w:left="72"/>
        <w:jc w:val="both"/>
        <w:textAlignment w:val="baseline"/>
        <w:rPr>
          <w:sz w:val="23"/>
          <w:szCs w:val="23"/>
          <w:lang w:val="es-ES" w:eastAsia="es-ES"/>
        </w:rPr>
      </w:pPr>
      <w:r>
        <w:rPr>
          <w:b/>
          <w:bCs/>
          <w:sz w:val="23"/>
          <w:szCs w:val="23"/>
          <w:lang w:val="es-ES" w:eastAsia="es-ES"/>
        </w:rPr>
        <w:t xml:space="preserve">PRIMERO. - </w:t>
      </w:r>
      <w:r>
        <w:rPr>
          <w:sz w:val="23"/>
          <w:szCs w:val="23"/>
          <w:lang w:val="es-ES" w:eastAsia="es-ES"/>
        </w:rPr>
        <w:t xml:space="preserve">La Junta Directiva del Consejo de Transporte Público en </w:t>
      </w:r>
      <w:r>
        <w:rPr>
          <w:b/>
          <w:bCs/>
          <w:sz w:val="23"/>
          <w:szCs w:val="23"/>
          <w:lang w:val="es-ES" w:eastAsia="es-ES"/>
        </w:rPr>
        <w:t xml:space="preserve">Artículo 7.7.2 de la Sesión Ordinaria 17-2017, celebrada el 26 de abril del 2017, </w:t>
      </w:r>
      <w:r>
        <w:rPr>
          <w:sz w:val="23"/>
          <w:szCs w:val="23"/>
          <w:lang w:val="es-ES" w:eastAsia="es-ES"/>
        </w:rPr>
        <w:t xml:space="preserve">conoció el oficio </w:t>
      </w:r>
      <w:proofErr w:type="spellStart"/>
      <w:r>
        <w:rPr>
          <w:sz w:val="23"/>
          <w:szCs w:val="23"/>
          <w:lang w:val="es-ES" w:eastAsia="es-ES"/>
        </w:rPr>
        <w:t>DAJ</w:t>
      </w:r>
      <w:proofErr w:type="spellEnd"/>
      <w:r>
        <w:rPr>
          <w:sz w:val="23"/>
          <w:szCs w:val="23"/>
          <w:lang w:val="es-ES" w:eastAsia="es-ES"/>
        </w:rPr>
        <w:t>-2017-000985 del 17 de abril del 2017, emitido por la Dirección de Asuntos Jurídico de ese Consejo, y acordó lo siguiente:</w:t>
      </w:r>
    </w:p>
    <w:p w:rsidR="00441235" w:rsidRPr="00FE7D69" w:rsidRDefault="00FE7D69">
      <w:pPr>
        <w:kinsoku w:val="0"/>
        <w:overflowPunct w:val="0"/>
        <w:autoSpaceDE/>
        <w:autoSpaceDN/>
        <w:adjustRightInd/>
        <w:spacing w:before="322" w:line="274" w:lineRule="exact"/>
        <w:ind w:left="1008"/>
        <w:textAlignment w:val="baseline"/>
        <w:rPr>
          <w:b/>
          <w:spacing w:val="-13"/>
          <w:sz w:val="23"/>
          <w:szCs w:val="23"/>
          <w:lang w:val="es-ES" w:eastAsia="es-ES"/>
        </w:rPr>
      </w:pPr>
      <w:r w:rsidRPr="00FE7D69">
        <w:rPr>
          <w:b/>
          <w:spacing w:val="-13"/>
          <w:sz w:val="23"/>
          <w:szCs w:val="23"/>
          <w:lang w:val="es-ES" w:eastAsia="es-ES"/>
        </w:rPr>
        <w:t>"POR TANTO, SE ACUERDA:</w:t>
      </w:r>
    </w:p>
    <w:p w:rsidR="00441235" w:rsidRDefault="00FE7D69">
      <w:pPr>
        <w:numPr>
          <w:ilvl w:val="0"/>
          <w:numId w:val="1"/>
        </w:numPr>
        <w:kinsoku w:val="0"/>
        <w:overflowPunct w:val="0"/>
        <w:autoSpaceDE/>
        <w:autoSpaceDN/>
        <w:adjustRightInd/>
        <w:spacing w:before="458" w:line="228" w:lineRule="exact"/>
        <w:ind w:right="864"/>
        <w:jc w:val="both"/>
        <w:textAlignment w:val="baseline"/>
        <w:rPr>
          <w:lang w:val="es-ES" w:eastAsia="es-ES"/>
        </w:rPr>
      </w:pPr>
      <w:r>
        <w:rPr>
          <w:lang w:val="es-ES" w:eastAsia="es-ES"/>
        </w:rPr>
        <w:t xml:space="preserve">Aprobar, basados en los fundamentos, motivos y contenidos, desarrollados en los considerandos del oficio </w:t>
      </w:r>
      <w:proofErr w:type="spellStart"/>
      <w:r w:rsidRPr="00FE7D69">
        <w:rPr>
          <w:b/>
          <w:sz w:val="23"/>
          <w:szCs w:val="23"/>
          <w:lang w:val="es-ES" w:eastAsia="es-ES"/>
        </w:rPr>
        <w:t>DAJ</w:t>
      </w:r>
      <w:proofErr w:type="spellEnd"/>
      <w:r w:rsidRPr="00FE7D69">
        <w:rPr>
          <w:b/>
          <w:sz w:val="23"/>
          <w:szCs w:val="23"/>
          <w:lang w:val="es-ES" w:eastAsia="es-ES"/>
        </w:rPr>
        <w:t xml:space="preserve"> 2017</w:t>
      </w:r>
      <w:r w:rsidRPr="00FE7D69">
        <w:rPr>
          <w:b/>
          <w:lang w:val="es-ES" w:eastAsia="es-ES"/>
        </w:rPr>
        <w:t>-</w:t>
      </w:r>
      <w:r w:rsidRPr="00FE7D69">
        <w:rPr>
          <w:b/>
          <w:sz w:val="23"/>
          <w:szCs w:val="23"/>
          <w:lang w:val="es-ES" w:eastAsia="es-ES"/>
        </w:rPr>
        <w:t>000985</w:t>
      </w:r>
      <w:r>
        <w:rPr>
          <w:sz w:val="23"/>
          <w:szCs w:val="23"/>
          <w:lang w:val="es-ES" w:eastAsia="es-ES"/>
        </w:rPr>
        <w:t xml:space="preserve">, </w:t>
      </w:r>
      <w:r>
        <w:rPr>
          <w:lang w:val="es-ES" w:eastAsia="es-ES"/>
        </w:rPr>
        <w:t>todas las recomendaciones contenidas en el oficio dicho, el cual forma parte integral de este acuerdo.</w:t>
      </w:r>
    </w:p>
    <w:p w:rsidR="00441235" w:rsidRPr="00FE7D69" w:rsidRDefault="00FE7D69">
      <w:pPr>
        <w:numPr>
          <w:ilvl w:val="0"/>
          <w:numId w:val="1"/>
        </w:numPr>
        <w:kinsoku w:val="0"/>
        <w:overflowPunct w:val="0"/>
        <w:autoSpaceDE/>
        <w:autoSpaceDN/>
        <w:adjustRightInd/>
        <w:spacing w:before="26" w:line="225" w:lineRule="exact"/>
        <w:ind w:right="864"/>
        <w:jc w:val="both"/>
        <w:textAlignment w:val="baseline"/>
        <w:rPr>
          <w:lang w:val="es-ES" w:eastAsia="es-ES"/>
        </w:rPr>
      </w:pPr>
      <w:r>
        <w:rPr>
          <w:lang w:val="es-ES" w:eastAsia="es-ES"/>
        </w:rPr>
        <w:t xml:space="preserve">Ordenar el inicio de procedimiento administrativo para averiguar la verdad real de los hechos relacionados con el supuesto incumplimiento del señor </w:t>
      </w:r>
      <w:proofErr w:type="spellStart"/>
      <w:r w:rsidRPr="00FE7D69">
        <w:rPr>
          <w:b/>
          <w:sz w:val="23"/>
          <w:szCs w:val="23"/>
          <w:lang w:val="es-ES" w:eastAsia="es-ES"/>
        </w:rPr>
        <w:t>D</w:t>
      </w:r>
      <w:r>
        <w:rPr>
          <w:b/>
          <w:sz w:val="23"/>
          <w:szCs w:val="23"/>
          <w:lang w:val="es-ES" w:eastAsia="es-ES"/>
        </w:rPr>
        <w:t>.M.S.B</w:t>
      </w:r>
      <w:proofErr w:type="spellEnd"/>
      <w:r>
        <w:rPr>
          <w:b/>
          <w:sz w:val="23"/>
          <w:szCs w:val="23"/>
          <w:lang w:val="es-ES" w:eastAsia="es-ES"/>
        </w:rPr>
        <w:t>.</w:t>
      </w:r>
      <w:r>
        <w:rPr>
          <w:sz w:val="23"/>
          <w:szCs w:val="23"/>
          <w:lang w:val="es-ES" w:eastAsia="es-ES"/>
        </w:rPr>
        <w:t xml:space="preserve"> </w:t>
      </w:r>
      <w:r>
        <w:rPr>
          <w:lang w:val="es-ES" w:eastAsia="es-ES"/>
        </w:rPr>
        <w:t xml:space="preserve">cédula … en cuanto presentar la garantía de cumplimiento que ampare el contrato de concesión, cumplir con las obligaciones con la </w:t>
      </w:r>
      <w:proofErr w:type="spellStart"/>
      <w:r>
        <w:rPr>
          <w:lang w:val="es-ES" w:eastAsia="es-ES"/>
        </w:rPr>
        <w:t>CCSS</w:t>
      </w:r>
      <w:proofErr w:type="spellEnd"/>
      <w:r>
        <w:rPr>
          <w:lang w:val="es-ES" w:eastAsia="es-ES"/>
        </w:rPr>
        <w:t xml:space="preserve"> y no haber formalizado el traspaso de la concesión de servicio público placa </w:t>
      </w:r>
      <w:proofErr w:type="spellStart"/>
      <w:r w:rsidRPr="00FE7D69">
        <w:rPr>
          <w:b/>
          <w:sz w:val="23"/>
          <w:szCs w:val="23"/>
          <w:lang w:val="es-ES" w:eastAsia="es-ES"/>
        </w:rPr>
        <w:t>TSJ</w:t>
      </w:r>
      <w:proofErr w:type="spellEnd"/>
      <w:r w:rsidRPr="00FE7D69">
        <w:rPr>
          <w:b/>
          <w:sz w:val="23"/>
          <w:szCs w:val="23"/>
          <w:lang w:val="es-ES" w:eastAsia="es-ES"/>
        </w:rPr>
        <w:t xml:space="preserve"> </w:t>
      </w:r>
      <w:proofErr w:type="spellStart"/>
      <w:r w:rsidRPr="00FE7D69">
        <w:rPr>
          <w:b/>
          <w:sz w:val="23"/>
          <w:szCs w:val="23"/>
          <w:lang w:val="es-ES" w:eastAsia="es-ES"/>
        </w:rPr>
        <w:t>XXXX</w:t>
      </w:r>
      <w:proofErr w:type="spellEnd"/>
      <w:r>
        <w:rPr>
          <w:sz w:val="23"/>
          <w:szCs w:val="23"/>
          <w:lang w:val="es-ES" w:eastAsia="es-ES"/>
        </w:rPr>
        <w:t xml:space="preserve">, </w:t>
      </w:r>
      <w:r>
        <w:rPr>
          <w:lang w:val="es-ES" w:eastAsia="es-ES"/>
        </w:rPr>
        <w:t>en el plazo otorgado.</w:t>
      </w:r>
    </w:p>
    <w:p w:rsidR="00441235" w:rsidRDefault="00FE7D69" w:rsidP="00FE7D69">
      <w:pPr>
        <w:numPr>
          <w:ilvl w:val="0"/>
          <w:numId w:val="1"/>
        </w:numPr>
        <w:tabs>
          <w:tab w:val="left" w:pos="2736"/>
          <w:tab w:val="left" w:pos="3672"/>
          <w:tab w:val="left" w:pos="4896"/>
          <w:tab w:val="left" w:pos="5976"/>
          <w:tab w:val="left" w:pos="6984"/>
          <w:tab w:val="left" w:pos="7560"/>
        </w:tabs>
        <w:kinsoku w:val="0"/>
        <w:overflowPunct w:val="0"/>
        <w:autoSpaceDE/>
        <w:autoSpaceDN/>
        <w:adjustRightInd/>
        <w:spacing w:before="8" w:line="228" w:lineRule="exact"/>
        <w:ind w:right="864"/>
        <w:textAlignment w:val="baseline"/>
        <w:rPr>
          <w:lang w:val="es-ES" w:eastAsia="es-ES"/>
        </w:rPr>
      </w:pPr>
      <w:r w:rsidRPr="00FE7D69">
        <w:rPr>
          <w:lang w:val="es-ES" w:eastAsia="es-ES"/>
        </w:rPr>
        <w:t xml:space="preserve">Notifíquese: </w:t>
      </w:r>
      <w:proofErr w:type="spellStart"/>
      <w:r w:rsidRPr="00FE7D69">
        <w:rPr>
          <w:lang w:val="es-ES" w:eastAsia="es-ES"/>
        </w:rPr>
        <w:t>D.M.S.B</w:t>
      </w:r>
      <w:proofErr w:type="spellEnd"/>
      <w:r w:rsidRPr="00FE7D69">
        <w:rPr>
          <w:lang w:val="es-ES" w:eastAsia="es-ES"/>
        </w:rPr>
        <w:t xml:space="preserve">. al correo </w:t>
      </w:r>
      <w:hyperlink r:id="rId5" w:history="1">
        <w:proofErr w:type="spellStart"/>
        <w:r w:rsidRPr="00FE7D69">
          <w:rPr>
            <w:rStyle w:val="Hipervnculo"/>
            <w:color w:val="auto"/>
            <w:u w:val="none"/>
            <w:lang w:val="es-ES" w:eastAsia="es-ES"/>
          </w:rPr>
          <w:t>xxxxxxxxx@gmail.com</w:t>
        </w:r>
        <w:proofErr w:type="spellEnd"/>
      </w:hyperlink>
      <w:r>
        <w:rPr>
          <w:lang w:val="es-ES" w:eastAsia="es-ES"/>
        </w:rPr>
        <w:t xml:space="preserve"> </w:t>
      </w:r>
      <w:r w:rsidRPr="00FE7D69">
        <w:rPr>
          <w:b/>
          <w:sz w:val="23"/>
          <w:szCs w:val="23"/>
          <w:lang w:val="es-ES" w:eastAsia="es-ES"/>
        </w:rPr>
        <w:t xml:space="preserve">(ADJUNTAR COPIA DEL OFICIO </w:t>
      </w:r>
      <w:proofErr w:type="spellStart"/>
      <w:r w:rsidRPr="00FE7D69">
        <w:rPr>
          <w:b/>
          <w:sz w:val="23"/>
          <w:szCs w:val="23"/>
          <w:lang w:val="es-ES" w:eastAsia="es-ES"/>
        </w:rPr>
        <w:t>DAJ</w:t>
      </w:r>
      <w:proofErr w:type="spellEnd"/>
      <w:r w:rsidRPr="00FE7D69">
        <w:rPr>
          <w:b/>
          <w:sz w:val="23"/>
          <w:szCs w:val="23"/>
          <w:lang w:val="es-ES" w:eastAsia="es-ES"/>
        </w:rPr>
        <w:t xml:space="preserve"> 2017</w:t>
      </w:r>
      <w:r w:rsidRPr="00FE7D69">
        <w:rPr>
          <w:b/>
          <w:sz w:val="23"/>
          <w:szCs w:val="23"/>
          <w:lang w:val="es-ES" w:eastAsia="es-ES"/>
        </w:rPr>
        <w:softHyphen/>
        <w:t>000985)</w:t>
      </w:r>
      <w:r>
        <w:rPr>
          <w:sz w:val="23"/>
          <w:szCs w:val="23"/>
          <w:lang w:val="es-ES" w:eastAsia="es-ES"/>
        </w:rPr>
        <w:t xml:space="preserve">. (...)" </w:t>
      </w:r>
      <w:r>
        <w:rPr>
          <w:lang w:val="es-ES" w:eastAsia="es-ES"/>
        </w:rPr>
        <w:t xml:space="preserve">(Léanse los folios del 25 al 29 del expediente </w:t>
      </w:r>
      <w:proofErr w:type="spellStart"/>
      <w:r>
        <w:rPr>
          <w:lang w:val="es-ES" w:eastAsia="es-ES"/>
        </w:rPr>
        <w:t>TAT</w:t>
      </w:r>
      <w:proofErr w:type="spellEnd"/>
      <w:r>
        <w:rPr>
          <w:sz w:val="23"/>
          <w:szCs w:val="23"/>
          <w:lang w:val="es-ES" w:eastAsia="es-ES"/>
        </w:rPr>
        <w:t>-</w:t>
      </w:r>
      <w:r>
        <w:rPr>
          <w:lang w:val="es-ES" w:eastAsia="es-ES"/>
        </w:rPr>
        <w:t>117</w:t>
      </w:r>
      <w:r>
        <w:rPr>
          <w:sz w:val="23"/>
          <w:szCs w:val="23"/>
          <w:lang w:val="es-ES" w:eastAsia="es-ES"/>
        </w:rPr>
        <w:t>-</w:t>
      </w:r>
      <w:r>
        <w:rPr>
          <w:lang w:val="es-ES" w:eastAsia="es-ES"/>
        </w:rPr>
        <w:t>17)</w:t>
      </w:r>
    </w:p>
    <w:p w:rsidR="00441235" w:rsidRDefault="00FE7D69">
      <w:pPr>
        <w:kinsoku w:val="0"/>
        <w:overflowPunct w:val="0"/>
        <w:autoSpaceDE/>
        <w:autoSpaceDN/>
        <w:adjustRightInd/>
        <w:spacing w:before="251" w:line="294" w:lineRule="exact"/>
        <w:ind w:left="72"/>
        <w:jc w:val="both"/>
        <w:textAlignment w:val="baseline"/>
        <w:rPr>
          <w:lang w:val="es-ES" w:eastAsia="es-ES"/>
        </w:rPr>
      </w:pPr>
      <w:r>
        <w:rPr>
          <w:sz w:val="23"/>
          <w:szCs w:val="23"/>
          <w:lang w:val="es-ES" w:eastAsia="es-ES"/>
        </w:rPr>
        <w:t xml:space="preserve">El acuerdo fue notificado, el martes </w:t>
      </w:r>
      <w:r>
        <w:rPr>
          <w:b/>
          <w:bCs/>
          <w:sz w:val="23"/>
          <w:szCs w:val="23"/>
          <w:lang w:val="es-ES" w:eastAsia="es-ES"/>
        </w:rPr>
        <w:t xml:space="preserve">2 de mayo del 2017. </w:t>
      </w:r>
      <w:r>
        <w:rPr>
          <w:sz w:val="23"/>
          <w:szCs w:val="23"/>
          <w:lang w:val="es-ES" w:eastAsia="es-ES"/>
        </w:rPr>
        <w:t xml:space="preserve">(péase, el folio 26 del expediente </w:t>
      </w:r>
      <w:proofErr w:type="spellStart"/>
      <w:r>
        <w:rPr>
          <w:lang w:val="es-ES" w:eastAsia="es-ES"/>
        </w:rPr>
        <w:t>TAT</w:t>
      </w:r>
      <w:proofErr w:type="spellEnd"/>
      <w:r>
        <w:rPr>
          <w:sz w:val="23"/>
          <w:szCs w:val="23"/>
          <w:lang w:val="es-ES" w:eastAsia="es-ES"/>
        </w:rPr>
        <w:t>-</w:t>
      </w:r>
      <w:r>
        <w:rPr>
          <w:lang w:val="es-ES" w:eastAsia="es-ES"/>
        </w:rPr>
        <w:t>117</w:t>
      </w:r>
      <w:r>
        <w:rPr>
          <w:sz w:val="23"/>
          <w:szCs w:val="23"/>
          <w:lang w:val="es-ES" w:eastAsia="es-ES"/>
        </w:rPr>
        <w:t>-</w:t>
      </w:r>
      <w:r>
        <w:rPr>
          <w:lang w:val="es-ES" w:eastAsia="es-ES"/>
        </w:rPr>
        <w:t>17)</w:t>
      </w:r>
    </w:p>
    <w:p w:rsidR="00441235" w:rsidRDefault="00FE7D69">
      <w:pPr>
        <w:kinsoku w:val="0"/>
        <w:overflowPunct w:val="0"/>
        <w:autoSpaceDE/>
        <w:autoSpaceDN/>
        <w:adjustRightInd/>
        <w:spacing w:before="356" w:after="787" w:line="323" w:lineRule="exact"/>
        <w:ind w:left="72"/>
        <w:jc w:val="both"/>
        <w:textAlignment w:val="baseline"/>
        <w:rPr>
          <w:b/>
          <w:bCs/>
          <w:sz w:val="23"/>
          <w:szCs w:val="23"/>
          <w:lang w:val="es-ES" w:eastAsia="es-ES"/>
        </w:rPr>
      </w:pPr>
      <w:r>
        <w:rPr>
          <w:b/>
          <w:bCs/>
          <w:sz w:val="23"/>
          <w:szCs w:val="23"/>
          <w:lang w:val="es-ES" w:eastAsia="es-ES"/>
        </w:rPr>
        <w:t xml:space="preserve">SEGUNDO. </w:t>
      </w:r>
      <w:r>
        <w:rPr>
          <w:sz w:val="23"/>
          <w:szCs w:val="23"/>
          <w:lang w:val="es-ES" w:eastAsia="es-ES"/>
        </w:rPr>
        <w:t xml:space="preserve">-El </w:t>
      </w:r>
      <w:r>
        <w:rPr>
          <w:b/>
          <w:bCs/>
          <w:sz w:val="23"/>
          <w:szCs w:val="23"/>
          <w:lang w:val="es-ES" w:eastAsia="es-ES"/>
        </w:rPr>
        <w:t xml:space="preserve">11 de mayo del 2017, </w:t>
      </w:r>
      <w:r>
        <w:rPr>
          <w:sz w:val="23"/>
          <w:szCs w:val="23"/>
          <w:lang w:val="es-ES" w:eastAsia="es-ES"/>
        </w:rPr>
        <w:t xml:space="preserve">el señor </w:t>
      </w:r>
      <w:proofErr w:type="spellStart"/>
      <w:r w:rsidRPr="00FE7D69">
        <w:rPr>
          <w:sz w:val="23"/>
          <w:szCs w:val="23"/>
          <w:lang w:val="es-ES" w:eastAsia="es-ES"/>
        </w:rPr>
        <w:t>D</w:t>
      </w:r>
      <w:r>
        <w:rPr>
          <w:sz w:val="23"/>
          <w:szCs w:val="23"/>
          <w:lang w:val="es-ES" w:eastAsia="es-ES"/>
        </w:rPr>
        <w:t>.M.S.B</w:t>
      </w:r>
      <w:proofErr w:type="spellEnd"/>
      <w:r>
        <w:rPr>
          <w:sz w:val="23"/>
          <w:szCs w:val="23"/>
          <w:lang w:val="es-ES" w:eastAsia="es-ES"/>
        </w:rPr>
        <w:t xml:space="preserve">. interpone </w:t>
      </w:r>
      <w:r w:rsidRPr="00FE7D69">
        <w:rPr>
          <w:b/>
          <w:sz w:val="23"/>
          <w:szCs w:val="23"/>
          <w:lang w:val="es-ES" w:eastAsia="es-ES"/>
        </w:rPr>
        <w:t>RECURSO DE APELACIÓN EN SUBSIDIO E INCIDENTE DE NULIDAD ABSOLUTA CONCOMITANTE</w:t>
      </w:r>
      <w:r>
        <w:rPr>
          <w:sz w:val="23"/>
          <w:szCs w:val="23"/>
          <w:lang w:val="es-ES" w:eastAsia="es-ES"/>
        </w:rPr>
        <w:t xml:space="preserve">, contra el </w:t>
      </w:r>
      <w:r>
        <w:rPr>
          <w:b/>
          <w:bCs/>
          <w:sz w:val="23"/>
          <w:szCs w:val="23"/>
          <w:lang w:val="es-ES" w:eastAsia="es-ES"/>
        </w:rPr>
        <w:t>Artículo 7.7.2 de la Sesión Ordinaria 17-2017, celebrada el</w:t>
      </w:r>
    </w:p>
    <w:p w:rsidR="00441235" w:rsidRDefault="00441235">
      <w:pPr>
        <w:widowControl/>
        <w:rPr>
          <w:sz w:val="24"/>
          <w:szCs w:val="24"/>
        </w:rPr>
        <w:sectPr w:rsidR="00441235">
          <w:pgSz w:w="12336" w:h="15782"/>
          <w:pgMar w:top="1417" w:right="1603" w:bottom="211" w:left="1733" w:header="720" w:footer="720" w:gutter="0"/>
          <w:cols w:space="720"/>
          <w:noEndnote/>
        </w:sectPr>
      </w:pPr>
    </w:p>
    <w:p w:rsidR="00441235" w:rsidRDefault="00441235">
      <w:pPr>
        <w:widowControl/>
        <w:rPr>
          <w:sz w:val="24"/>
          <w:szCs w:val="24"/>
        </w:rPr>
        <w:sectPr w:rsidR="00441235">
          <w:type w:val="continuous"/>
          <w:pgSz w:w="12336" w:h="15782"/>
          <w:pgMar w:top="1417" w:right="1746" w:bottom="211" w:left="8390" w:header="720" w:footer="720" w:gutter="0"/>
          <w:cols w:space="720"/>
          <w:noEndnote/>
        </w:sectPr>
      </w:pPr>
    </w:p>
    <w:p w:rsidR="00441235" w:rsidRDefault="00FE7D69">
      <w:pPr>
        <w:kinsoku w:val="0"/>
        <w:overflowPunct w:val="0"/>
        <w:autoSpaceDE/>
        <w:autoSpaceDN/>
        <w:adjustRightInd/>
        <w:spacing w:line="287" w:lineRule="exact"/>
        <w:ind w:left="72" w:right="72"/>
        <w:jc w:val="both"/>
        <w:textAlignment w:val="baseline"/>
        <w:rPr>
          <w:spacing w:val="8"/>
          <w:sz w:val="22"/>
          <w:szCs w:val="22"/>
          <w:lang w:val="es-ES" w:eastAsia="es-ES"/>
        </w:rPr>
      </w:pPr>
      <w:r>
        <w:rPr>
          <w:b/>
          <w:bCs/>
          <w:spacing w:val="8"/>
          <w:sz w:val="22"/>
          <w:szCs w:val="22"/>
          <w:lang w:val="es-ES" w:eastAsia="es-ES"/>
        </w:rPr>
        <w:lastRenderedPageBreak/>
        <w:t xml:space="preserve">26 de abril del 2017, </w:t>
      </w:r>
      <w:r>
        <w:rPr>
          <w:spacing w:val="8"/>
          <w:sz w:val="22"/>
          <w:szCs w:val="22"/>
          <w:lang w:val="es-ES" w:eastAsia="es-ES"/>
        </w:rPr>
        <w:t>por la Junta Directiva del Consejo de Transporte Público, argumentando en resumen los siguiente:</w:t>
      </w:r>
    </w:p>
    <w:p w:rsidR="00441235" w:rsidRDefault="00FE7D69">
      <w:pPr>
        <w:numPr>
          <w:ilvl w:val="0"/>
          <w:numId w:val="2"/>
        </w:numPr>
        <w:kinsoku w:val="0"/>
        <w:overflowPunct w:val="0"/>
        <w:autoSpaceDE/>
        <w:autoSpaceDN/>
        <w:adjustRightInd/>
        <w:spacing w:before="334" w:line="287" w:lineRule="exact"/>
        <w:ind w:right="72"/>
        <w:jc w:val="both"/>
        <w:textAlignment w:val="baseline"/>
        <w:rPr>
          <w:sz w:val="22"/>
          <w:szCs w:val="22"/>
          <w:lang w:val="es-ES" w:eastAsia="es-ES"/>
        </w:rPr>
      </w:pPr>
      <w:r>
        <w:rPr>
          <w:sz w:val="22"/>
          <w:szCs w:val="22"/>
          <w:lang w:val="es-ES" w:eastAsia="es-ES"/>
        </w:rPr>
        <w:t xml:space="preserve">Refiere que en el acuerdo hace referencia al oficio </w:t>
      </w:r>
      <w:proofErr w:type="spellStart"/>
      <w:r>
        <w:rPr>
          <w:sz w:val="22"/>
          <w:szCs w:val="22"/>
          <w:lang w:val="es-ES" w:eastAsia="es-ES"/>
        </w:rPr>
        <w:t>DAJ</w:t>
      </w:r>
      <w:proofErr w:type="spellEnd"/>
      <w:r>
        <w:rPr>
          <w:sz w:val="22"/>
          <w:szCs w:val="22"/>
          <w:lang w:val="es-ES" w:eastAsia="es-ES"/>
        </w:rPr>
        <w:t xml:space="preserve"> 2017-00985 respecto a la procedencia legal de hacer un trámite de formalización de traspaso autorizado que nunca se le puso en conocimiento, por lo que no pudo ejercer defensa y no se le dio debido proceso.</w:t>
      </w:r>
    </w:p>
    <w:p w:rsidR="00441235" w:rsidRDefault="00FE7D69">
      <w:pPr>
        <w:numPr>
          <w:ilvl w:val="0"/>
          <w:numId w:val="2"/>
        </w:numPr>
        <w:kinsoku w:val="0"/>
        <w:overflowPunct w:val="0"/>
        <w:autoSpaceDE/>
        <w:autoSpaceDN/>
        <w:adjustRightInd/>
        <w:spacing w:before="3" w:line="290" w:lineRule="exact"/>
        <w:ind w:right="72"/>
        <w:jc w:val="both"/>
        <w:textAlignment w:val="baseline"/>
        <w:rPr>
          <w:sz w:val="22"/>
          <w:szCs w:val="22"/>
          <w:lang w:val="es-ES" w:eastAsia="es-ES"/>
        </w:rPr>
      </w:pPr>
      <w:r>
        <w:rPr>
          <w:sz w:val="22"/>
          <w:szCs w:val="22"/>
          <w:lang w:val="es-ES" w:eastAsia="es-ES"/>
        </w:rPr>
        <w:t xml:space="preserve">Indica que se toma la decisión de iniciar procedimiento administrativo para conocer sobre el incumplimiento al no presentar garantía de cumplimiento que ampare el contrato de concesión, cumplir con las obligaciones de la </w:t>
      </w:r>
      <w:proofErr w:type="spellStart"/>
      <w:r>
        <w:rPr>
          <w:sz w:val="22"/>
          <w:szCs w:val="22"/>
          <w:lang w:val="es-ES" w:eastAsia="es-ES"/>
        </w:rPr>
        <w:t>CCSS</w:t>
      </w:r>
      <w:proofErr w:type="spellEnd"/>
      <w:r>
        <w:rPr>
          <w:sz w:val="22"/>
          <w:szCs w:val="22"/>
          <w:lang w:val="es-ES" w:eastAsia="es-ES"/>
        </w:rPr>
        <w:t xml:space="preserve"> y no haber formalizado el traspaso de la concesión de servicio público placa </w:t>
      </w:r>
      <w:proofErr w:type="spellStart"/>
      <w:r>
        <w:rPr>
          <w:sz w:val="22"/>
          <w:szCs w:val="22"/>
          <w:lang w:val="es-ES" w:eastAsia="es-ES"/>
        </w:rPr>
        <w:t>TSJ-XXXX</w:t>
      </w:r>
      <w:proofErr w:type="spellEnd"/>
      <w:r>
        <w:rPr>
          <w:sz w:val="22"/>
          <w:szCs w:val="22"/>
          <w:lang w:val="es-ES" w:eastAsia="es-ES"/>
        </w:rPr>
        <w:t xml:space="preserve"> en el plazo otorgado. Sin embargo, no entra a analizar el fondo del asunto ni sus argumentos sobre una solicitud de enderezar procedimientos.</w:t>
      </w:r>
    </w:p>
    <w:p w:rsidR="00441235" w:rsidRDefault="00FE7D69">
      <w:pPr>
        <w:numPr>
          <w:ilvl w:val="0"/>
          <w:numId w:val="2"/>
        </w:numPr>
        <w:kinsoku w:val="0"/>
        <w:overflowPunct w:val="0"/>
        <w:autoSpaceDE/>
        <w:autoSpaceDN/>
        <w:adjustRightInd/>
        <w:spacing w:before="5" w:line="289" w:lineRule="exact"/>
        <w:ind w:right="72"/>
        <w:jc w:val="both"/>
        <w:textAlignment w:val="baseline"/>
        <w:rPr>
          <w:sz w:val="22"/>
          <w:szCs w:val="22"/>
          <w:lang w:val="es-ES" w:eastAsia="es-ES"/>
        </w:rPr>
      </w:pPr>
      <w:r>
        <w:rPr>
          <w:sz w:val="22"/>
          <w:szCs w:val="22"/>
          <w:lang w:val="es-ES" w:eastAsia="es-ES"/>
        </w:rPr>
        <w:t>No existe motivo para que desentendiera la notificación, si esta hubiera llegado y no cuenta con elementos para demostrar que no es así. Alega que hay serias dudas de que la notificación de la resolución fuera notificada, y es la administración quien debe demostrar que sí lo hizo.</w:t>
      </w:r>
    </w:p>
    <w:p w:rsidR="00441235" w:rsidRDefault="00FE7D69">
      <w:pPr>
        <w:numPr>
          <w:ilvl w:val="0"/>
          <w:numId w:val="2"/>
        </w:numPr>
        <w:kinsoku w:val="0"/>
        <w:overflowPunct w:val="0"/>
        <w:autoSpaceDE/>
        <w:autoSpaceDN/>
        <w:adjustRightInd/>
        <w:spacing w:before="1" w:line="291" w:lineRule="exact"/>
        <w:ind w:right="72"/>
        <w:jc w:val="both"/>
        <w:textAlignment w:val="baseline"/>
        <w:rPr>
          <w:sz w:val="22"/>
          <w:szCs w:val="22"/>
          <w:lang w:val="es-ES" w:eastAsia="es-ES"/>
        </w:rPr>
      </w:pPr>
      <w:r>
        <w:rPr>
          <w:sz w:val="22"/>
          <w:szCs w:val="22"/>
          <w:lang w:val="es-ES" w:eastAsia="es-ES"/>
        </w:rPr>
        <w:t>alega que de quedar firme la resolución se le estaría produciendo agravios a su persona, pues la concesión de taxi es el único medio de ingresos económicos con los que mantiene a la familia, y un nuevo proceso sería un desgaste emocional y una inversión económica importante.</w:t>
      </w:r>
    </w:p>
    <w:p w:rsidR="00441235" w:rsidRDefault="00FE7D69">
      <w:pPr>
        <w:numPr>
          <w:ilvl w:val="0"/>
          <w:numId w:val="2"/>
        </w:numPr>
        <w:kinsoku w:val="0"/>
        <w:overflowPunct w:val="0"/>
        <w:autoSpaceDE/>
        <w:autoSpaceDN/>
        <w:adjustRightInd/>
        <w:spacing w:before="4" w:line="286" w:lineRule="exact"/>
        <w:ind w:right="72"/>
        <w:jc w:val="both"/>
        <w:textAlignment w:val="baseline"/>
        <w:rPr>
          <w:sz w:val="22"/>
          <w:szCs w:val="22"/>
          <w:lang w:val="es-ES" w:eastAsia="es-ES"/>
        </w:rPr>
      </w:pPr>
      <w:r>
        <w:rPr>
          <w:sz w:val="22"/>
          <w:szCs w:val="22"/>
          <w:lang w:val="es-ES" w:eastAsia="es-ES"/>
        </w:rPr>
        <w:t xml:space="preserve">Solicita que se declare con lugar el recurso de revocatoria y en su defecto se eleve la apelación, se anule la resolución impugnada se enderecen los procedimientos, notificándosele la resolución del 30 de marzo del 2016, para ahora formalizar la concesión del taxi placa </w:t>
      </w:r>
      <w:proofErr w:type="spellStart"/>
      <w:r>
        <w:rPr>
          <w:sz w:val="22"/>
          <w:szCs w:val="22"/>
          <w:lang w:val="es-ES" w:eastAsia="es-ES"/>
        </w:rPr>
        <w:t>TSJ-XXXX</w:t>
      </w:r>
      <w:proofErr w:type="spellEnd"/>
      <w:r>
        <w:rPr>
          <w:sz w:val="22"/>
          <w:szCs w:val="22"/>
          <w:lang w:val="es-ES" w:eastAsia="es-ES"/>
        </w:rPr>
        <w:t>.</w:t>
      </w:r>
    </w:p>
    <w:p w:rsidR="00441235" w:rsidRDefault="00FE7D69">
      <w:pPr>
        <w:kinsoku w:val="0"/>
        <w:overflowPunct w:val="0"/>
        <w:autoSpaceDE/>
        <w:autoSpaceDN/>
        <w:adjustRightInd/>
        <w:spacing w:line="296" w:lineRule="exact"/>
        <w:ind w:left="72" w:right="72"/>
        <w:jc w:val="both"/>
        <w:textAlignment w:val="baseline"/>
        <w:rPr>
          <w:sz w:val="22"/>
          <w:szCs w:val="22"/>
          <w:lang w:val="es-ES" w:eastAsia="es-ES"/>
        </w:rPr>
      </w:pPr>
      <w:r>
        <w:rPr>
          <w:sz w:val="29"/>
          <w:szCs w:val="29"/>
          <w:lang w:val="es-ES" w:eastAsia="es-ES"/>
        </w:rPr>
        <w:t xml:space="preserve">f) </w:t>
      </w:r>
      <w:r>
        <w:rPr>
          <w:sz w:val="22"/>
          <w:szCs w:val="22"/>
          <w:lang w:val="es-ES" w:eastAsia="es-ES"/>
        </w:rPr>
        <w:t xml:space="preserve">Realiza ofrecimiento de prueba testimonial y documental. (Léanse los folios del 7 al 12 del expediente administrativo </w:t>
      </w:r>
      <w:proofErr w:type="spellStart"/>
      <w:r>
        <w:rPr>
          <w:sz w:val="22"/>
          <w:szCs w:val="22"/>
          <w:lang w:val="es-ES" w:eastAsia="es-ES"/>
        </w:rPr>
        <w:t>TAT</w:t>
      </w:r>
      <w:proofErr w:type="spellEnd"/>
      <w:r>
        <w:rPr>
          <w:sz w:val="22"/>
          <w:szCs w:val="22"/>
          <w:lang w:val="es-ES" w:eastAsia="es-ES"/>
        </w:rPr>
        <w:t>-117-17)</w:t>
      </w:r>
    </w:p>
    <w:p w:rsidR="00441235" w:rsidRDefault="00FE7D69">
      <w:pPr>
        <w:kinsoku w:val="0"/>
        <w:overflowPunct w:val="0"/>
        <w:autoSpaceDE/>
        <w:autoSpaceDN/>
        <w:adjustRightInd/>
        <w:spacing w:before="271" w:line="315" w:lineRule="exact"/>
        <w:ind w:left="72" w:right="72"/>
        <w:jc w:val="both"/>
        <w:textAlignment w:val="baseline"/>
        <w:rPr>
          <w:spacing w:val="8"/>
          <w:sz w:val="22"/>
          <w:szCs w:val="22"/>
          <w:lang w:val="es-ES" w:eastAsia="es-ES"/>
        </w:rPr>
      </w:pPr>
      <w:r>
        <w:rPr>
          <w:b/>
          <w:bCs/>
          <w:spacing w:val="8"/>
          <w:sz w:val="22"/>
          <w:szCs w:val="22"/>
          <w:lang w:val="es-ES" w:eastAsia="es-ES"/>
        </w:rPr>
        <w:t xml:space="preserve">TERCERO. </w:t>
      </w:r>
      <w:r>
        <w:rPr>
          <w:spacing w:val="8"/>
          <w:sz w:val="22"/>
          <w:szCs w:val="22"/>
          <w:lang w:val="es-ES" w:eastAsia="es-ES"/>
        </w:rPr>
        <w:t xml:space="preserve">La Junta Directiva del Consejo de Transporte Público en el </w:t>
      </w:r>
      <w:r>
        <w:rPr>
          <w:b/>
          <w:bCs/>
          <w:spacing w:val="8"/>
          <w:sz w:val="22"/>
          <w:szCs w:val="22"/>
          <w:lang w:val="es-ES" w:eastAsia="es-ES"/>
        </w:rPr>
        <w:t xml:space="preserve">Artículo 7.4.2 de la Sesión Ordinaria 38-2017 del 4 de octubre del 2017 </w:t>
      </w:r>
      <w:r>
        <w:rPr>
          <w:spacing w:val="8"/>
          <w:sz w:val="22"/>
          <w:szCs w:val="22"/>
          <w:lang w:val="es-ES" w:eastAsia="es-ES"/>
        </w:rPr>
        <w:t xml:space="preserve">conoció el recurso de revocatoria y sus incidencias, acogió las recomendaciones del informe </w:t>
      </w:r>
      <w:proofErr w:type="spellStart"/>
      <w:r>
        <w:rPr>
          <w:spacing w:val="8"/>
          <w:sz w:val="22"/>
          <w:szCs w:val="22"/>
          <w:lang w:val="es-ES" w:eastAsia="es-ES"/>
        </w:rPr>
        <w:t>DAJ</w:t>
      </w:r>
      <w:proofErr w:type="spellEnd"/>
      <w:r>
        <w:rPr>
          <w:spacing w:val="8"/>
          <w:sz w:val="22"/>
          <w:szCs w:val="22"/>
          <w:lang w:val="es-ES" w:eastAsia="es-ES"/>
        </w:rPr>
        <w:t>-2017-002408 del 21 de setiembre del 2017, emitido por la Dirección de Asuntos Jurídicos; y en consecuencia rechazó por improcedente el recurso de revocatoria e incidencias contra un acto administrativo preparatorio, y se elevó el Recurso de Apelación ante el Tribunal Administrativo de Transporte.</w:t>
      </w:r>
    </w:p>
    <w:p w:rsidR="00441235" w:rsidRDefault="00FE7D69">
      <w:pPr>
        <w:kinsoku w:val="0"/>
        <w:overflowPunct w:val="0"/>
        <w:autoSpaceDE/>
        <w:autoSpaceDN/>
        <w:adjustRightInd/>
        <w:spacing w:before="307" w:line="318" w:lineRule="exact"/>
        <w:ind w:left="72" w:right="72"/>
        <w:textAlignment w:val="baseline"/>
        <w:rPr>
          <w:spacing w:val="9"/>
          <w:sz w:val="22"/>
          <w:szCs w:val="22"/>
          <w:lang w:val="es-ES" w:eastAsia="es-ES"/>
        </w:rPr>
      </w:pPr>
      <w:r>
        <w:rPr>
          <w:b/>
          <w:bCs/>
          <w:spacing w:val="9"/>
          <w:sz w:val="22"/>
          <w:szCs w:val="22"/>
          <w:lang w:val="es-ES" w:eastAsia="es-ES"/>
        </w:rPr>
        <w:t xml:space="preserve">CUARTO. </w:t>
      </w:r>
      <w:r>
        <w:rPr>
          <w:spacing w:val="9"/>
          <w:sz w:val="22"/>
          <w:szCs w:val="22"/>
          <w:lang w:val="es-ES" w:eastAsia="es-ES"/>
        </w:rPr>
        <w:t>En los procedimientos se han seguido las prescripciones de ley.</w:t>
      </w:r>
    </w:p>
    <w:p w:rsidR="00441235" w:rsidRDefault="00FE7D69">
      <w:pPr>
        <w:kinsoku w:val="0"/>
        <w:overflowPunct w:val="0"/>
        <w:autoSpaceDE/>
        <w:autoSpaceDN/>
        <w:adjustRightInd/>
        <w:spacing w:before="311" w:line="317" w:lineRule="exact"/>
        <w:ind w:left="72" w:right="72"/>
        <w:textAlignment w:val="baseline"/>
        <w:rPr>
          <w:b/>
          <w:bCs/>
          <w:spacing w:val="12"/>
          <w:sz w:val="22"/>
          <w:szCs w:val="22"/>
          <w:lang w:val="es-ES" w:eastAsia="es-ES"/>
        </w:rPr>
      </w:pPr>
      <w:r>
        <w:rPr>
          <w:b/>
          <w:bCs/>
          <w:spacing w:val="12"/>
          <w:sz w:val="22"/>
          <w:szCs w:val="22"/>
          <w:lang w:val="es-ES" w:eastAsia="es-ES"/>
        </w:rPr>
        <w:t xml:space="preserve">REDACTA EL JUEZ </w:t>
      </w:r>
      <w:proofErr w:type="spellStart"/>
      <w:r>
        <w:rPr>
          <w:b/>
          <w:bCs/>
          <w:spacing w:val="12"/>
          <w:sz w:val="22"/>
          <w:szCs w:val="22"/>
          <w:lang w:val="es-ES" w:eastAsia="es-ES"/>
        </w:rPr>
        <w:t>PORTUGUEZ</w:t>
      </w:r>
      <w:proofErr w:type="spellEnd"/>
      <w:r>
        <w:rPr>
          <w:b/>
          <w:bCs/>
          <w:spacing w:val="12"/>
          <w:sz w:val="22"/>
          <w:szCs w:val="22"/>
          <w:lang w:val="es-ES" w:eastAsia="es-ES"/>
        </w:rPr>
        <w:t xml:space="preserve"> MÉNDEZ,</w:t>
      </w:r>
    </w:p>
    <w:p w:rsidR="00441235" w:rsidRDefault="00FE7D69">
      <w:pPr>
        <w:kinsoku w:val="0"/>
        <w:overflowPunct w:val="0"/>
        <w:autoSpaceDE/>
        <w:autoSpaceDN/>
        <w:adjustRightInd/>
        <w:spacing w:before="325" w:line="317" w:lineRule="exact"/>
        <w:ind w:left="72" w:right="72"/>
        <w:jc w:val="center"/>
        <w:textAlignment w:val="baseline"/>
        <w:rPr>
          <w:b/>
          <w:bCs/>
          <w:spacing w:val="12"/>
          <w:sz w:val="22"/>
          <w:szCs w:val="22"/>
          <w:lang w:val="es-ES" w:eastAsia="es-ES"/>
        </w:rPr>
      </w:pPr>
      <w:r>
        <w:rPr>
          <w:b/>
          <w:bCs/>
          <w:spacing w:val="12"/>
          <w:sz w:val="22"/>
          <w:szCs w:val="22"/>
          <w:lang w:val="es-ES" w:eastAsia="es-ES"/>
        </w:rPr>
        <w:t>CONSIDERANDO ÚNICO</w:t>
      </w:r>
    </w:p>
    <w:p w:rsidR="00441235" w:rsidRDefault="00FE7D69">
      <w:pPr>
        <w:kinsoku w:val="0"/>
        <w:overflowPunct w:val="0"/>
        <w:autoSpaceDE/>
        <w:autoSpaceDN/>
        <w:adjustRightInd/>
        <w:spacing w:before="280" w:after="764" w:line="323" w:lineRule="exact"/>
        <w:ind w:left="72" w:right="72"/>
        <w:jc w:val="both"/>
        <w:textAlignment w:val="baseline"/>
        <w:rPr>
          <w:spacing w:val="8"/>
          <w:sz w:val="22"/>
          <w:szCs w:val="22"/>
          <w:lang w:val="es-ES" w:eastAsia="es-ES"/>
        </w:rPr>
      </w:pPr>
      <w:r>
        <w:rPr>
          <w:spacing w:val="8"/>
          <w:sz w:val="22"/>
          <w:szCs w:val="22"/>
          <w:lang w:val="es-ES" w:eastAsia="es-ES"/>
        </w:rPr>
        <w:t>El Tribunal Administrativo de Transporte es el competente para conocer los recursos de apelación de conformidad con el artículo 22 de la Ley Reguladora del Servicio Público de Transporte Remunerado de Personas en Vehículos en la Modalidad de Taxi N. 7969 del 22 de diciembre de 1999, en concordancia con el Libro Segundo de la Ley General de la Administración Pública N. 6227.</w:t>
      </w:r>
    </w:p>
    <w:p w:rsidR="00441235" w:rsidRDefault="00441235">
      <w:pPr>
        <w:widowControl/>
        <w:rPr>
          <w:sz w:val="24"/>
          <w:szCs w:val="24"/>
        </w:rPr>
        <w:sectPr w:rsidR="00441235">
          <w:pgSz w:w="12336" w:h="15782"/>
          <w:pgMar w:top="1320" w:right="1660" w:bottom="346" w:left="1676" w:header="720" w:footer="720" w:gutter="0"/>
          <w:cols w:space="720"/>
          <w:noEndnote/>
        </w:sectPr>
      </w:pPr>
    </w:p>
    <w:p w:rsidR="00441235" w:rsidRDefault="00441235">
      <w:pPr>
        <w:widowControl/>
        <w:rPr>
          <w:sz w:val="24"/>
          <w:szCs w:val="24"/>
        </w:rPr>
        <w:sectPr w:rsidR="00441235">
          <w:type w:val="continuous"/>
          <w:pgSz w:w="12336" w:h="15782"/>
          <w:pgMar w:top="1320" w:right="1798" w:bottom="346" w:left="8318" w:header="720" w:footer="720" w:gutter="0"/>
          <w:cols w:space="720"/>
          <w:noEndnote/>
        </w:sectPr>
      </w:pPr>
    </w:p>
    <w:p w:rsidR="00441235" w:rsidRDefault="00FE7D69">
      <w:pPr>
        <w:kinsoku w:val="0"/>
        <w:overflowPunct w:val="0"/>
        <w:autoSpaceDE/>
        <w:autoSpaceDN/>
        <w:adjustRightInd/>
        <w:spacing w:before="6" w:line="319" w:lineRule="exact"/>
        <w:ind w:left="72" w:right="72"/>
        <w:jc w:val="both"/>
        <w:textAlignment w:val="baseline"/>
        <w:rPr>
          <w:sz w:val="24"/>
          <w:szCs w:val="24"/>
          <w:lang w:val="es-ES" w:eastAsia="es-ES"/>
        </w:rPr>
      </w:pPr>
      <w:r>
        <w:rPr>
          <w:sz w:val="24"/>
          <w:szCs w:val="24"/>
          <w:lang w:val="es-ES" w:eastAsia="es-ES"/>
        </w:rPr>
        <w:lastRenderedPageBreak/>
        <w:t>Ahora bien, el artículo 345 párrafo 1, de la Ley N. 6227 establece que, en el procedimiento ordinario, cabrán los recursos ordinarios únicamente contra el acto que lo inicie, contra el que deniega la comparecencia oral o cualquier otra prueba y contra el acto final, por lo que es de suma importancia definir qué tipo de procedimiento es el que se ha instaurado y su correspondiente fase, a efectos de determinar la procedencia por la forma del recurso ordinario de apelación.</w:t>
      </w:r>
    </w:p>
    <w:p w:rsidR="00441235" w:rsidRDefault="00FE7D69">
      <w:pPr>
        <w:kinsoku w:val="0"/>
        <w:overflowPunct w:val="0"/>
        <w:autoSpaceDE/>
        <w:autoSpaceDN/>
        <w:adjustRightInd/>
        <w:spacing w:before="319" w:line="319" w:lineRule="exact"/>
        <w:ind w:left="72" w:right="72"/>
        <w:jc w:val="both"/>
        <w:textAlignment w:val="baseline"/>
        <w:rPr>
          <w:spacing w:val="1"/>
          <w:sz w:val="24"/>
          <w:szCs w:val="24"/>
          <w:lang w:val="es-ES" w:eastAsia="es-ES"/>
        </w:rPr>
      </w:pPr>
      <w:r>
        <w:rPr>
          <w:spacing w:val="1"/>
          <w:sz w:val="24"/>
          <w:szCs w:val="24"/>
          <w:lang w:val="es-ES" w:eastAsia="es-ES"/>
        </w:rPr>
        <w:t xml:space="preserve">Este Tribunal Administrativo de Transporte, con base en el estudio del expediente, ha verificado que el </w:t>
      </w:r>
      <w:r>
        <w:rPr>
          <w:b/>
          <w:bCs/>
          <w:spacing w:val="1"/>
          <w:sz w:val="24"/>
          <w:szCs w:val="24"/>
          <w:lang w:val="es-ES" w:eastAsia="es-ES"/>
        </w:rPr>
        <w:t xml:space="preserve">Artículo 7.7.2 de la Sesión Ordinaria 17-2017, celebrada el 26 de abril del 2017, </w:t>
      </w:r>
      <w:r>
        <w:rPr>
          <w:spacing w:val="1"/>
          <w:sz w:val="24"/>
          <w:szCs w:val="24"/>
          <w:lang w:val="es-ES" w:eastAsia="es-ES"/>
        </w:rPr>
        <w:t xml:space="preserve">emitido por la Junta Directiva del Consejo de Transporte Público, refiere, a medidas tomadas por la Junta Directiva del Consejo de Transporte Público, en el ejercicio de sus facultades de fiscalización y control, y en cuanto a la comisión para que la Dirección de Asuntos Jurídicos del Consejo de Transporte Público inicie el procedimiento administrativo referente a lo indicado en informe </w:t>
      </w:r>
      <w:proofErr w:type="spellStart"/>
      <w:r>
        <w:rPr>
          <w:spacing w:val="1"/>
          <w:sz w:val="24"/>
          <w:szCs w:val="24"/>
          <w:lang w:val="es-ES" w:eastAsia="es-ES"/>
        </w:rPr>
        <w:t>DAJ</w:t>
      </w:r>
      <w:proofErr w:type="spellEnd"/>
      <w:r>
        <w:rPr>
          <w:spacing w:val="1"/>
          <w:sz w:val="24"/>
          <w:szCs w:val="24"/>
          <w:lang w:val="es-ES" w:eastAsia="es-ES"/>
        </w:rPr>
        <w:t>-2017-000985 del 17 de abril del 2017, emitido por la Dirección de Asuntos Jurídicos; a fin de determinar la verdad real de los hechos, por lo que se está ante una fase preliminar, preparatoria al procedimiento ordinario.</w:t>
      </w:r>
    </w:p>
    <w:p w:rsidR="00441235" w:rsidRDefault="00FE7D69">
      <w:pPr>
        <w:kinsoku w:val="0"/>
        <w:overflowPunct w:val="0"/>
        <w:autoSpaceDE/>
        <w:autoSpaceDN/>
        <w:adjustRightInd/>
        <w:spacing w:before="317" w:line="319" w:lineRule="exact"/>
        <w:ind w:left="72" w:right="72"/>
        <w:jc w:val="both"/>
        <w:textAlignment w:val="baseline"/>
        <w:rPr>
          <w:sz w:val="24"/>
          <w:szCs w:val="24"/>
          <w:lang w:val="es-ES" w:eastAsia="es-ES"/>
        </w:rPr>
      </w:pPr>
      <w:r>
        <w:rPr>
          <w:sz w:val="24"/>
          <w:szCs w:val="24"/>
          <w:lang w:val="es-ES" w:eastAsia="es-ES"/>
        </w:rPr>
        <w:t xml:space="preserve">Respecto a la impugnación de los actos de trámite o preparatorios el Tribunal Contencioso Administrativo, mediante Sentencia </w:t>
      </w:r>
      <w:proofErr w:type="spellStart"/>
      <w:r>
        <w:rPr>
          <w:sz w:val="24"/>
          <w:szCs w:val="24"/>
          <w:lang w:val="es-ES" w:eastAsia="es-ES"/>
        </w:rPr>
        <w:t>N°</w:t>
      </w:r>
      <w:proofErr w:type="spellEnd"/>
      <w:r>
        <w:rPr>
          <w:sz w:val="24"/>
          <w:szCs w:val="24"/>
          <w:lang w:val="es-ES" w:eastAsia="es-ES"/>
        </w:rPr>
        <w:t xml:space="preserve"> 237, de las quince horas del veinticinco de agosto del dos mil, señaló con relación a los actos de trámite o preparatorios que estos se impugnan solo con el acto definitivo, en los siguientes términos:</w:t>
      </w:r>
    </w:p>
    <w:p w:rsidR="00441235" w:rsidRDefault="00FE7D69">
      <w:pPr>
        <w:kinsoku w:val="0"/>
        <w:overflowPunct w:val="0"/>
        <w:autoSpaceDE/>
        <w:autoSpaceDN/>
        <w:adjustRightInd/>
        <w:spacing w:before="325" w:after="1123" w:line="229" w:lineRule="exact"/>
        <w:ind w:left="576" w:right="576"/>
        <w:jc w:val="both"/>
        <w:textAlignment w:val="baseline"/>
        <w:rPr>
          <w:lang w:val="es-ES" w:eastAsia="es-ES"/>
        </w:rPr>
      </w:pPr>
      <w:r>
        <w:rPr>
          <w:lang w:val="es-ES" w:eastAsia="es-ES"/>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Pr>
          <w:b/>
          <w:bCs/>
          <w:u w:val="single"/>
          <w:lang w:val="es-ES" w:eastAsia="es-ES"/>
        </w:rPr>
        <w:t>los vicios propios de los actos  preparatorios se han de impugnar conjuntamente con el acto final,</w:t>
      </w:r>
      <w:r>
        <w:rPr>
          <w:lang w:val="es-ES" w:eastAsia="es-ES"/>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441235" w:rsidRDefault="00441235">
      <w:pPr>
        <w:widowControl/>
        <w:rPr>
          <w:sz w:val="24"/>
          <w:szCs w:val="24"/>
        </w:rPr>
        <w:sectPr w:rsidR="00441235">
          <w:pgSz w:w="12331" w:h="15802"/>
          <w:pgMar w:top="1740" w:right="1571" w:bottom="221" w:left="1760" w:header="720" w:footer="720" w:gutter="0"/>
          <w:cols w:space="720"/>
          <w:noEndnote/>
        </w:sectPr>
      </w:pPr>
    </w:p>
    <w:p w:rsidR="00441235" w:rsidRDefault="00FE7D69">
      <w:pPr>
        <w:kinsoku w:val="0"/>
        <w:overflowPunct w:val="0"/>
        <w:autoSpaceDE/>
        <w:autoSpaceDN/>
        <w:adjustRightInd/>
        <w:spacing w:line="314" w:lineRule="exact"/>
        <w:ind w:left="72" w:right="72"/>
        <w:jc w:val="both"/>
        <w:textAlignment w:val="baseline"/>
        <w:rPr>
          <w:sz w:val="24"/>
          <w:szCs w:val="24"/>
          <w:lang w:val="es-ES" w:eastAsia="es-ES"/>
        </w:rPr>
      </w:pPr>
      <w:r>
        <w:rPr>
          <w:sz w:val="24"/>
          <w:szCs w:val="24"/>
          <w:lang w:val="es-ES" w:eastAsia="es-ES"/>
        </w:rPr>
        <w:lastRenderedPageBreak/>
        <w:t>Se tiene entonces que, el recurrente, ha interpuesto el recurso de apelación en subsidio y sus incidencias contra la decisión de la Junta Directiva del Consejo de Transporte Público, que ordena la apertura de procedimiento ordinario. De conformidad con lo establecido en el artículo 345 párrafo 1, de la Ley N. 6227, la decisión de investigar de la Junta Directiva del Consejo de Transporte Público, no tiene recurso ordinario de apelación ante el Tribunal Administrativo de Transporte, pues por su naturaleza jurídica no tiene la facultad de causar efectos en la esfera de los derechos o intereses legítimos del administrado, y por ello debe indicarse al recurrente que no es el momento procesal oportuno para su interposición y por tal razón, sin prejuzgar sobre el fondo del asunto, el recurso de apelación y sus incidencias deben ser rechazados, por ser jurídicamente improcedente.</w:t>
      </w:r>
    </w:p>
    <w:p w:rsidR="00441235" w:rsidRDefault="00FE7D69">
      <w:pPr>
        <w:kinsoku w:val="0"/>
        <w:overflowPunct w:val="0"/>
        <w:autoSpaceDE/>
        <w:autoSpaceDN/>
        <w:adjustRightInd/>
        <w:spacing w:before="321" w:line="316" w:lineRule="exact"/>
        <w:ind w:left="72" w:right="72"/>
        <w:jc w:val="both"/>
        <w:textAlignment w:val="baseline"/>
        <w:rPr>
          <w:sz w:val="24"/>
          <w:szCs w:val="24"/>
          <w:lang w:val="es-ES" w:eastAsia="es-ES"/>
        </w:rPr>
      </w:pPr>
      <w:r>
        <w:rPr>
          <w:sz w:val="24"/>
          <w:szCs w:val="24"/>
          <w:lang w:val="es-ES" w:eastAsia="es-ES"/>
        </w:rPr>
        <w:t>En cuanto a la nulidad alegada, este Tribunal no estima en lo actuado por el Consejo de Transporte Público, vicio alguno en cuanto a la constitución de los elementos sustanciales y formales del que pueda resultar la nulidad del acto impugnado, ni infracción al debido procedimiento administrativo, derechos de defensa ni violación al principio de legalidad y sus derivaciones.</w:t>
      </w:r>
    </w:p>
    <w:p w:rsidR="00441235" w:rsidRDefault="00FE7D69">
      <w:pPr>
        <w:kinsoku w:val="0"/>
        <w:overflowPunct w:val="0"/>
        <w:autoSpaceDE/>
        <w:autoSpaceDN/>
        <w:adjustRightInd/>
        <w:spacing w:before="380" w:line="264" w:lineRule="exact"/>
        <w:ind w:left="72" w:right="72"/>
        <w:jc w:val="center"/>
        <w:textAlignment w:val="baseline"/>
        <w:rPr>
          <w:b/>
          <w:bCs/>
          <w:sz w:val="24"/>
          <w:szCs w:val="24"/>
          <w:lang w:val="es-ES" w:eastAsia="es-ES"/>
        </w:rPr>
      </w:pPr>
      <w:r>
        <w:rPr>
          <w:b/>
          <w:bCs/>
          <w:sz w:val="24"/>
          <w:szCs w:val="24"/>
          <w:lang w:val="es-ES" w:eastAsia="es-ES"/>
        </w:rPr>
        <w:t>POR TANTO</w:t>
      </w:r>
    </w:p>
    <w:p w:rsidR="00441235" w:rsidRDefault="00FE7D69">
      <w:pPr>
        <w:numPr>
          <w:ilvl w:val="0"/>
          <w:numId w:val="3"/>
        </w:numPr>
        <w:kinsoku w:val="0"/>
        <w:overflowPunct w:val="0"/>
        <w:autoSpaceDE/>
        <w:autoSpaceDN/>
        <w:adjustRightInd/>
        <w:spacing w:before="339" w:line="316" w:lineRule="exact"/>
        <w:ind w:right="72"/>
        <w:jc w:val="both"/>
        <w:textAlignment w:val="baseline"/>
        <w:rPr>
          <w:spacing w:val="2"/>
          <w:sz w:val="24"/>
          <w:szCs w:val="24"/>
          <w:lang w:val="es-ES" w:eastAsia="es-ES"/>
        </w:rPr>
      </w:pPr>
      <w:r>
        <w:rPr>
          <w:spacing w:val="2"/>
          <w:sz w:val="24"/>
          <w:szCs w:val="24"/>
          <w:lang w:val="es-ES" w:eastAsia="es-ES"/>
        </w:rPr>
        <w:t xml:space="preserve">Se declara </w:t>
      </w:r>
      <w:r w:rsidRPr="00FE7D69">
        <w:rPr>
          <w:b/>
          <w:spacing w:val="2"/>
          <w:sz w:val="19"/>
          <w:szCs w:val="19"/>
          <w:lang w:val="es-ES" w:eastAsia="es-ES"/>
        </w:rPr>
        <w:t xml:space="preserve">IMPROCEDENTE </w:t>
      </w:r>
      <w:r>
        <w:rPr>
          <w:spacing w:val="2"/>
          <w:sz w:val="24"/>
          <w:szCs w:val="24"/>
          <w:lang w:val="es-ES" w:eastAsia="es-ES"/>
        </w:rPr>
        <w:t xml:space="preserve">por no ser el momento procesal oportuno para la interposición del </w:t>
      </w:r>
      <w:r w:rsidRPr="00FE7D69">
        <w:rPr>
          <w:b/>
          <w:spacing w:val="2"/>
          <w:sz w:val="19"/>
          <w:szCs w:val="19"/>
          <w:lang w:val="es-ES" w:eastAsia="es-ES"/>
        </w:rPr>
        <w:t>RECURSO DE APELACIÓN EN SUBSIDIO E INCIDENTE DE NULIDAD</w:t>
      </w:r>
      <w:r>
        <w:rPr>
          <w:spacing w:val="2"/>
          <w:sz w:val="19"/>
          <w:szCs w:val="19"/>
          <w:lang w:val="es-ES" w:eastAsia="es-ES"/>
        </w:rPr>
        <w:t xml:space="preserve">, </w:t>
      </w:r>
      <w:r>
        <w:rPr>
          <w:spacing w:val="2"/>
          <w:sz w:val="24"/>
          <w:szCs w:val="24"/>
          <w:lang w:val="es-ES" w:eastAsia="es-ES"/>
        </w:rPr>
        <w:t xml:space="preserve">interpuesto por </w:t>
      </w:r>
      <w:proofErr w:type="spellStart"/>
      <w:r w:rsidRPr="00FE7D69">
        <w:rPr>
          <w:b/>
          <w:spacing w:val="2"/>
          <w:sz w:val="19"/>
          <w:szCs w:val="19"/>
          <w:lang w:val="es-ES" w:eastAsia="es-ES"/>
        </w:rPr>
        <w:t>D</w:t>
      </w:r>
      <w:r>
        <w:rPr>
          <w:b/>
          <w:spacing w:val="2"/>
          <w:sz w:val="19"/>
          <w:szCs w:val="19"/>
          <w:lang w:val="es-ES" w:eastAsia="es-ES"/>
        </w:rPr>
        <w:t>.M.S.B</w:t>
      </w:r>
      <w:proofErr w:type="spellEnd"/>
      <w:r>
        <w:rPr>
          <w:b/>
          <w:spacing w:val="2"/>
          <w:sz w:val="19"/>
          <w:szCs w:val="19"/>
          <w:lang w:val="es-ES" w:eastAsia="es-ES"/>
        </w:rPr>
        <w:t>.</w:t>
      </w:r>
      <w:r>
        <w:rPr>
          <w:spacing w:val="2"/>
          <w:sz w:val="19"/>
          <w:szCs w:val="19"/>
          <w:lang w:val="es-ES" w:eastAsia="es-ES"/>
        </w:rPr>
        <w:t xml:space="preserve">, </w:t>
      </w:r>
      <w:r>
        <w:rPr>
          <w:spacing w:val="2"/>
          <w:sz w:val="24"/>
          <w:szCs w:val="24"/>
          <w:lang w:val="es-ES" w:eastAsia="es-ES"/>
        </w:rPr>
        <w:t xml:space="preserve">cédula de identidad número …; en contra del </w:t>
      </w:r>
      <w:r>
        <w:rPr>
          <w:b/>
          <w:bCs/>
          <w:spacing w:val="2"/>
          <w:sz w:val="24"/>
          <w:szCs w:val="24"/>
          <w:lang w:val="es-ES" w:eastAsia="es-ES"/>
        </w:rPr>
        <w:t xml:space="preserve">Artículo 7.7.2 de la Sesión Ordinaria 17-2017, celebrada el 26 de abril del 2017 </w:t>
      </w:r>
      <w:r>
        <w:rPr>
          <w:spacing w:val="2"/>
          <w:sz w:val="24"/>
          <w:szCs w:val="24"/>
          <w:lang w:val="es-ES" w:eastAsia="es-ES"/>
        </w:rPr>
        <w:t>por la Junta Directiva del Consejo de Transporte Público.</w:t>
      </w:r>
    </w:p>
    <w:p w:rsidR="00441235" w:rsidRPr="00FE7D69" w:rsidRDefault="00FE7D69" w:rsidP="00FE7D69">
      <w:pPr>
        <w:numPr>
          <w:ilvl w:val="0"/>
          <w:numId w:val="4"/>
        </w:numPr>
        <w:kinsoku w:val="0"/>
        <w:overflowPunct w:val="0"/>
        <w:autoSpaceDE/>
        <w:autoSpaceDN/>
        <w:adjustRightInd/>
        <w:spacing w:before="326" w:after="381" w:line="305" w:lineRule="exact"/>
        <w:ind w:right="72"/>
        <w:jc w:val="both"/>
        <w:textAlignment w:val="baseline"/>
        <w:rPr>
          <w:spacing w:val="5"/>
          <w:sz w:val="19"/>
          <w:szCs w:val="19"/>
          <w:lang w:val="es-ES" w:eastAsia="es-ES"/>
        </w:rPr>
      </w:pPr>
      <w:r>
        <w:rPr>
          <w:spacing w:val="-2"/>
          <w:sz w:val="24"/>
          <w:szCs w:val="24"/>
          <w:lang w:val="es-ES" w:eastAsia="es-ES"/>
        </w:rPr>
        <w:t xml:space="preserve">De conformidad con el artículo 22, inciso c), de la citada Ley 7969, la presente resolución no tiene ulterior recurso por lo que, se tiene por agotada la vía administrativa. </w:t>
      </w:r>
      <w:r>
        <w:rPr>
          <w:b/>
          <w:bCs/>
          <w:spacing w:val="-2"/>
          <w:sz w:val="24"/>
          <w:szCs w:val="24"/>
          <w:lang w:val="es-ES" w:eastAsia="es-ES"/>
        </w:rPr>
        <w:t xml:space="preserve">NOTIFÍQUESE. </w:t>
      </w:r>
    </w:p>
    <w:p w:rsidR="00FE7D69" w:rsidRPr="00DE692E" w:rsidRDefault="00FE7D69" w:rsidP="00FE7D69">
      <w:pPr>
        <w:kinsoku w:val="0"/>
        <w:overflowPunct w:val="0"/>
        <w:autoSpaceDE/>
        <w:autoSpaceDN/>
        <w:adjustRightInd/>
        <w:spacing w:after="374" w:line="320" w:lineRule="exact"/>
        <w:ind w:left="72"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xml:space="preserve">. Carlos Miguel </w:t>
      </w:r>
      <w:proofErr w:type="spellStart"/>
      <w:r w:rsidRPr="00DE692E">
        <w:rPr>
          <w:i/>
          <w:iCs/>
          <w:spacing w:val="5"/>
          <w:sz w:val="26"/>
          <w:szCs w:val="26"/>
        </w:rPr>
        <w:t>Portuguez</w:t>
      </w:r>
      <w:proofErr w:type="spellEnd"/>
      <w:r w:rsidRPr="00DE692E">
        <w:rPr>
          <w:i/>
          <w:iCs/>
          <w:spacing w:val="5"/>
          <w:sz w:val="26"/>
          <w:szCs w:val="26"/>
        </w:rPr>
        <w:t xml:space="preserve"> Méndez</w:t>
      </w:r>
    </w:p>
    <w:p w:rsidR="00FE7D69" w:rsidRPr="00DE692E" w:rsidRDefault="00FE7D69" w:rsidP="00FE7D69">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FE7D69" w:rsidRDefault="00FE7D69" w:rsidP="00FE7D69">
      <w:pPr>
        <w:kinsoku w:val="0"/>
        <w:overflowPunct w:val="0"/>
        <w:autoSpaceDE/>
        <w:autoSpaceDN/>
        <w:adjustRightInd/>
        <w:spacing w:before="326" w:after="381" w:line="305" w:lineRule="exact"/>
        <w:ind w:left="72" w:right="72"/>
        <w:jc w:val="center"/>
        <w:textAlignment w:val="baseline"/>
        <w:rPr>
          <w:spacing w:val="5"/>
          <w:sz w:val="19"/>
          <w:szCs w:val="19"/>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proofErr w:type="spellStart"/>
      <w:r w:rsidRPr="00DE692E">
        <w:rPr>
          <w:b/>
          <w:i/>
          <w:iCs/>
          <w:spacing w:val="5"/>
          <w:sz w:val="26"/>
          <w:szCs w:val="26"/>
        </w:rPr>
        <w:t>JUEZA</w:t>
      </w:r>
      <w:proofErr w:type="spellEnd"/>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w:t>
      </w:r>
      <w:proofErr w:type="spellStart"/>
      <w:r w:rsidRPr="00DE692E">
        <w:rPr>
          <w:b/>
          <w:i/>
          <w:iCs/>
          <w:spacing w:val="5"/>
          <w:sz w:val="26"/>
          <w:szCs w:val="26"/>
        </w:rPr>
        <w:t>JUEZ</w:t>
      </w:r>
      <w:proofErr w:type="spellEnd"/>
    </w:p>
    <w:sectPr w:rsidR="00FE7D69" w:rsidSect="00FE7D69">
      <w:pgSz w:w="12331" w:h="15802"/>
      <w:pgMar w:top="1300" w:right="1663" w:bottom="346" w:left="16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D682"/>
    <w:multiLevelType w:val="singleLevel"/>
    <w:tmpl w:val="2EC0D118"/>
    <w:lvl w:ilvl="0">
      <w:start w:val="1"/>
      <w:numFmt w:val="upperRoman"/>
      <w:lvlText w:val="%1.-"/>
      <w:lvlJc w:val="left"/>
      <w:pPr>
        <w:tabs>
          <w:tab w:val="num" w:pos="432"/>
        </w:tabs>
        <w:ind w:left="72"/>
      </w:pPr>
      <w:rPr>
        <w:b/>
        <w:snapToGrid/>
        <w:spacing w:val="2"/>
        <w:sz w:val="24"/>
        <w:szCs w:val="24"/>
      </w:rPr>
    </w:lvl>
  </w:abstractNum>
  <w:abstractNum w:abstractNumId="1" w15:restartNumberingAfterBreak="0">
    <w:nsid w:val="0421C64B"/>
    <w:multiLevelType w:val="singleLevel"/>
    <w:tmpl w:val="48070ADE"/>
    <w:lvl w:ilvl="0">
      <w:start w:val="1"/>
      <w:numFmt w:val="lowerLetter"/>
      <w:lvlText w:val="%1)"/>
      <w:lvlJc w:val="left"/>
      <w:pPr>
        <w:tabs>
          <w:tab w:val="num" w:pos="288"/>
        </w:tabs>
        <w:ind w:left="72"/>
      </w:pPr>
      <w:rPr>
        <w:snapToGrid/>
        <w:sz w:val="22"/>
        <w:szCs w:val="22"/>
      </w:rPr>
    </w:lvl>
  </w:abstractNum>
  <w:abstractNum w:abstractNumId="2" w15:restartNumberingAfterBreak="0">
    <w:nsid w:val="04D29CFB"/>
    <w:multiLevelType w:val="singleLevel"/>
    <w:tmpl w:val="5B7E6EAA"/>
    <w:lvl w:ilvl="0">
      <w:start w:val="1"/>
      <w:numFmt w:val="decimal"/>
      <w:lvlText w:val="%1."/>
      <w:lvlJc w:val="left"/>
      <w:pPr>
        <w:tabs>
          <w:tab w:val="num" w:pos="1296"/>
        </w:tabs>
        <w:ind w:left="1296" w:hanging="288"/>
      </w:pPr>
      <w:rPr>
        <w:b/>
        <w:snapToGrid/>
        <w:sz w:val="20"/>
        <w:szCs w:val="20"/>
      </w:rPr>
    </w:lvl>
  </w:abstractNum>
  <w:num w:numId="1">
    <w:abstractNumId w:val="2"/>
  </w:num>
  <w:num w:numId="2">
    <w:abstractNumId w:val="1"/>
  </w:num>
  <w:num w:numId="3">
    <w:abstractNumId w:val="0"/>
  </w:num>
  <w:num w:numId="4">
    <w:abstractNumId w:val="0"/>
    <w:lvlOverride w:ilvl="0">
      <w:lvl w:ilvl="0">
        <w:numFmt w:val="upperRoman"/>
        <w:lvlText w:val="%1.-"/>
        <w:lvlJc w:val="left"/>
        <w:pPr>
          <w:tabs>
            <w:tab w:val="num" w:pos="432"/>
          </w:tabs>
          <w:ind w:left="72"/>
        </w:pPr>
        <w:rPr>
          <w:b/>
          <w:snapToGrid/>
          <w:spacing w:val="-2"/>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69"/>
    <w:rsid w:val="00441235"/>
    <w:rsid w:val="00BC124E"/>
    <w:rsid w:val="00FE7D6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245CD4-452C-4DA4-A781-B7118E4A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7D69"/>
    <w:rPr>
      <w:color w:val="0563C1" w:themeColor="hyperlink"/>
      <w:u w:val="single"/>
    </w:rPr>
  </w:style>
  <w:style w:type="character" w:styleId="Mencinsinresolver">
    <w:name w:val="Unresolved Mention"/>
    <w:basedOn w:val="Fuentedeprrafopredeter"/>
    <w:uiPriority w:val="99"/>
    <w:semiHidden/>
    <w:unhideWhenUsed/>
    <w:rsid w:val="00FE7D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xx@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1595</Words>
  <Characters>8776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2017-12-20T15:15:00Z</dcterms:created>
  <dcterms:modified xsi:type="dcterms:W3CDTF">2017-12-20T15:15:00Z</dcterms:modified>
</cp:coreProperties>
</file>